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65BB8">
      <w:pPr>
        <w:spacing w:before="101" w:line="224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附件</w:t>
      </w:r>
    </w:p>
    <w:p w14:paraId="0B0E744D">
      <w:pPr>
        <w:spacing w:line="246" w:lineRule="auto"/>
        <w:rPr>
          <w:rFonts w:ascii="Arial"/>
          <w:sz w:val="21"/>
        </w:rPr>
      </w:pPr>
    </w:p>
    <w:p w14:paraId="0319465A">
      <w:pPr>
        <w:spacing w:before="143" w:line="219" w:lineRule="auto"/>
        <w:ind w:left="16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炎琥宁注射剂说明书修订要求</w:t>
      </w:r>
    </w:p>
    <w:p w14:paraId="621CA79F">
      <w:pPr>
        <w:spacing w:line="302" w:lineRule="auto"/>
        <w:rPr>
          <w:rFonts w:ascii="Arial"/>
          <w:sz w:val="21"/>
        </w:rPr>
      </w:pPr>
    </w:p>
    <w:p w14:paraId="57938766">
      <w:pPr>
        <w:spacing w:before="101" w:line="222" w:lineRule="auto"/>
        <w:ind w:left="714"/>
        <w:outlineLvl w:val="0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575310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3069" cy="12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一、增加警示语(增加黑框)</w:t>
      </w:r>
    </w:p>
    <w:p w14:paraId="19835FBC">
      <w:pPr>
        <w:pStyle w:val="2"/>
        <w:spacing w:before="159" w:line="298" w:lineRule="auto"/>
        <w:ind w:left="10" w:right="98" w:firstLine="699"/>
        <w:rPr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-31750</wp:posOffset>
            </wp:positionV>
            <wp:extent cx="5715000" cy="8001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sz w:val="31"/>
          <w:szCs w:val="31"/>
        </w:rPr>
        <w:t>接受本品治疗的患者有发生严重过敏反应的风险，包括过敏</w:t>
      </w:r>
      <w:r>
        <w:rPr>
          <w:sz w:val="31"/>
          <w:szCs w:val="31"/>
        </w:rPr>
        <w:t xml:space="preserve">  </w:t>
      </w:r>
      <w:r>
        <w:rPr>
          <w:spacing w:val="6"/>
          <w:sz w:val="31"/>
          <w:szCs w:val="31"/>
          <w:u w:val="single" w:color="auto"/>
        </w:rPr>
        <w:t>性休克，严重者可导致死亡。6岁及以下儿</w:t>
      </w:r>
      <w:r>
        <w:rPr>
          <w:spacing w:val="5"/>
          <w:sz w:val="31"/>
          <w:szCs w:val="31"/>
          <w:u w:val="single" w:color="auto"/>
        </w:rPr>
        <w:t>童禁用本品。</w:t>
      </w:r>
      <w:r>
        <w:rPr>
          <w:sz w:val="31"/>
          <w:szCs w:val="31"/>
          <w:u w:val="single" w:color="auto"/>
        </w:rPr>
        <w:t xml:space="preserve">         </w:t>
      </w:r>
    </w:p>
    <w:p w14:paraId="4F30A816">
      <w:pPr>
        <w:spacing w:before="45" w:line="221" w:lineRule="auto"/>
        <w:ind w:left="71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二、【不良反应】项下修订为以下内容</w:t>
      </w:r>
    </w:p>
    <w:p w14:paraId="6C3C3447">
      <w:pPr>
        <w:pStyle w:val="2"/>
        <w:spacing w:before="164" w:line="222" w:lineRule="auto"/>
        <w:ind w:left="709"/>
        <w:rPr>
          <w:sz w:val="31"/>
          <w:szCs w:val="31"/>
        </w:rPr>
      </w:pPr>
      <w:r>
        <w:rPr>
          <w:spacing w:val="20"/>
          <w:sz w:val="31"/>
          <w:szCs w:val="31"/>
        </w:rPr>
        <w:t>上市后监测发现本品有以下不良反应(发生率未知):</w:t>
      </w:r>
    </w:p>
    <w:p w14:paraId="6154050D">
      <w:pPr>
        <w:pStyle w:val="2"/>
        <w:spacing w:before="115" w:line="310" w:lineRule="auto"/>
        <w:ind w:left="69" w:right="174" w:firstLine="639"/>
        <w:rPr>
          <w:sz w:val="31"/>
          <w:szCs w:val="31"/>
        </w:rPr>
      </w:pPr>
      <w:r>
        <w:rPr>
          <w:spacing w:val="12"/>
          <w:sz w:val="31"/>
          <w:szCs w:val="31"/>
        </w:rPr>
        <w:t>皮肤及皮下组织：瘙痒、皮疹(包括斑丘疹、红斑、水疱、</w:t>
      </w:r>
      <w:r>
        <w:rPr>
          <w:spacing w:val="1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皮肤红肿等)、荨麻疹、过敏性皮炎、过敏性紫癜、多形性红斑。</w:t>
      </w:r>
    </w:p>
    <w:p w14:paraId="534CD3CA">
      <w:pPr>
        <w:pStyle w:val="2"/>
        <w:spacing w:before="10" w:line="306" w:lineRule="auto"/>
        <w:ind w:left="69" w:right="313" w:firstLine="639"/>
        <w:rPr>
          <w:sz w:val="31"/>
          <w:szCs w:val="31"/>
        </w:rPr>
      </w:pPr>
      <w:r>
        <w:rPr>
          <w:spacing w:val="2"/>
          <w:sz w:val="31"/>
          <w:szCs w:val="31"/>
        </w:rPr>
        <w:t xml:space="preserve">胃肠系统：恶心、呕吐、腹痛、腹泻、腹胀、腹部不适、口 </w:t>
      </w:r>
      <w:r>
        <w:rPr>
          <w:spacing w:val="3"/>
          <w:sz w:val="31"/>
          <w:szCs w:val="31"/>
        </w:rPr>
        <w:t>干、口苦、口唇麻木、消化不良。</w:t>
      </w:r>
    </w:p>
    <w:p w14:paraId="39FB9FC1">
      <w:pPr>
        <w:pStyle w:val="2"/>
        <w:spacing w:before="43" w:line="300" w:lineRule="auto"/>
        <w:ind w:left="69" w:right="174" w:firstLine="639"/>
        <w:rPr>
          <w:sz w:val="31"/>
          <w:szCs w:val="31"/>
        </w:rPr>
      </w:pPr>
      <w:r>
        <w:rPr>
          <w:spacing w:val="11"/>
          <w:sz w:val="31"/>
          <w:szCs w:val="31"/>
        </w:rPr>
        <w:t>全身及给药部位反应：寒战、发热、水肿(包括面部水肿、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眼部水肿、口咽水肿、全身水肿等)、注射部位反应(包括疼痛、</w:t>
      </w:r>
      <w:r>
        <w:rPr>
          <w:spacing w:val="11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瘙痒、皮疹、肿胀等)。</w:t>
      </w:r>
    </w:p>
    <w:p w14:paraId="37835C33">
      <w:pPr>
        <w:pStyle w:val="2"/>
        <w:spacing w:before="86" w:line="220" w:lineRule="auto"/>
        <w:ind w:left="709"/>
        <w:rPr>
          <w:sz w:val="31"/>
          <w:szCs w:val="31"/>
        </w:rPr>
      </w:pPr>
      <w:r>
        <w:rPr>
          <w:spacing w:val="4"/>
          <w:sz w:val="31"/>
          <w:szCs w:val="31"/>
        </w:rPr>
        <w:t>免疫系统：过敏反应、类过敏反应、过敏性休克。</w:t>
      </w:r>
    </w:p>
    <w:p w14:paraId="34562B97">
      <w:pPr>
        <w:pStyle w:val="2"/>
        <w:spacing w:before="131" w:line="290" w:lineRule="auto"/>
        <w:ind w:left="69" w:right="224" w:firstLine="639"/>
        <w:rPr>
          <w:sz w:val="31"/>
          <w:szCs w:val="31"/>
        </w:rPr>
      </w:pPr>
      <w:r>
        <w:rPr>
          <w:spacing w:val="-6"/>
          <w:sz w:val="31"/>
          <w:szCs w:val="31"/>
        </w:rPr>
        <w:t>呼吸系统：呼吸困难、胸部不适、呼吸急促、咳嗽、</w:t>
      </w:r>
      <w:r>
        <w:rPr>
          <w:spacing w:val="-7"/>
          <w:sz w:val="31"/>
          <w:szCs w:val="31"/>
        </w:rPr>
        <w:t>窒息感、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喉部不适、喉水肿、口咽疼痛。</w:t>
      </w:r>
    </w:p>
    <w:p w14:paraId="72FE824F">
      <w:pPr>
        <w:pStyle w:val="2"/>
        <w:spacing w:before="57" w:line="288" w:lineRule="auto"/>
        <w:ind w:left="69" w:right="224" w:firstLine="639"/>
        <w:rPr>
          <w:sz w:val="31"/>
          <w:szCs w:val="31"/>
        </w:rPr>
      </w:pPr>
      <w:r>
        <w:rPr>
          <w:spacing w:val="5"/>
          <w:sz w:val="31"/>
          <w:szCs w:val="31"/>
        </w:rPr>
        <w:t>神经及精神：头晕、头痛、震颤、抽搐、嗜睡、烦躁不安、</w:t>
      </w:r>
      <w:r>
        <w:rPr>
          <w:spacing w:val="13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意识模糊、晕厥。</w:t>
      </w:r>
    </w:p>
    <w:p w14:paraId="57F00DCE">
      <w:pPr>
        <w:pStyle w:val="2"/>
        <w:spacing w:before="114" w:line="311" w:lineRule="auto"/>
        <w:ind w:left="69" w:right="304" w:firstLine="639"/>
        <w:rPr>
          <w:sz w:val="24"/>
          <w:szCs w:val="24"/>
        </w:rPr>
      </w:pPr>
      <w:r>
        <w:rPr>
          <w:spacing w:val="2"/>
          <w:sz w:val="31"/>
          <w:szCs w:val="31"/>
        </w:rPr>
        <w:t>心血管系统：心悸、心动过速、潮红、紫绀、静脉炎、血压</w:t>
      </w:r>
      <w:r>
        <w:rPr>
          <w:spacing w:val="11"/>
          <w:sz w:val="31"/>
          <w:szCs w:val="31"/>
        </w:rPr>
        <w:t xml:space="preserve"> </w:t>
      </w:r>
      <w:r>
        <w:rPr>
          <w:spacing w:val="-15"/>
          <w:sz w:val="24"/>
          <w:szCs w:val="24"/>
        </w:rPr>
        <w:t>下 降</w:t>
      </w:r>
      <w:r>
        <w:rPr>
          <w:spacing w:val="-39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。</w:t>
      </w:r>
    </w:p>
    <w:p w14:paraId="23DAF0EF">
      <w:pPr>
        <w:pStyle w:val="2"/>
        <w:spacing w:before="101" w:line="221" w:lineRule="auto"/>
        <w:ind w:left="709"/>
        <w:rPr>
          <w:sz w:val="31"/>
          <w:szCs w:val="31"/>
        </w:rPr>
      </w:pPr>
      <w:r>
        <w:rPr>
          <w:spacing w:val="1"/>
          <w:sz w:val="31"/>
          <w:szCs w:val="31"/>
        </w:rPr>
        <w:t>眼部：视觉损害、视物模糊。</w:t>
      </w:r>
    </w:p>
    <w:p w14:paraId="352E24C4">
      <w:pPr>
        <w:pStyle w:val="2"/>
        <w:spacing w:before="149" w:line="221" w:lineRule="auto"/>
        <w:ind w:left="709"/>
        <w:rPr>
          <w:sz w:val="31"/>
          <w:szCs w:val="31"/>
        </w:rPr>
      </w:pPr>
      <w:r>
        <w:rPr>
          <w:spacing w:val="5"/>
          <w:sz w:val="31"/>
          <w:szCs w:val="31"/>
        </w:rPr>
        <w:t>血液系统：血小板减少、白细胞减少、粒细胞减少。</w:t>
      </w:r>
    </w:p>
    <w:p w14:paraId="06DC5FD5">
      <w:pPr>
        <w:pStyle w:val="2"/>
        <w:spacing w:before="170" w:line="222" w:lineRule="auto"/>
        <w:ind w:left="709"/>
        <w:rPr>
          <w:sz w:val="31"/>
          <w:szCs w:val="31"/>
        </w:rPr>
      </w:pPr>
      <w:r>
        <w:rPr>
          <w:spacing w:val="5"/>
          <w:sz w:val="31"/>
          <w:szCs w:val="31"/>
        </w:rPr>
        <w:t>其他：肝功能异常、肌痛、关节痛、耳鸣、排尿困难。</w:t>
      </w:r>
    </w:p>
    <w:p w14:paraId="3A149F9D">
      <w:pPr>
        <w:spacing w:line="222" w:lineRule="auto"/>
        <w:rPr>
          <w:sz w:val="31"/>
          <w:szCs w:val="31"/>
        </w:rPr>
        <w:sectPr>
          <w:footerReference r:id="rId5" w:type="default"/>
          <w:pgSz w:w="11940" w:h="16800"/>
          <w:pgMar w:top="1428" w:right="1791" w:bottom="1397" w:left="1010" w:header="0" w:footer="1089" w:gutter="0"/>
          <w:cols w:space="720" w:num="1"/>
        </w:sectPr>
      </w:pPr>
    </w:p>
    <w:p w14:paraId="1ACD8D17">
      <w:pPr>
        <w:spacing w:line="476" w:lineRule="auto"/>
        <w:rPr>
          <w:rFonts w:ascii="Arial"/>
          <w:sz w:val="21"/>
        </w:rPr>
      </w:pPr>
    </w:p>
    <w:p w14:paraId="6D654235">
      <w:pPr>
        <w:spacing w:before="98" w:line="221" w:lineRule="auto"/>
        <w:ind w:left="723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三、【禁忌】项应包含以下内容</w:t>
      </w:r>
    </w:p>
    <w:p w14:paraId="07684D8E">
      <w:pPr>
        <w:pStyle w:val="2"/>
        <w:spacing w:before="166" w:line="313" w:lineRule="auto"/>
        <w:ind w:left="719" w:right="3550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>1.对本品及所含成分过敏者禁用。</w:t>
      </w:r>
    </w:p>
    <w:p w14:paraId="30D088F7">
      <w:pPr>
        <w:pStyle w:val="2"/>
        <w:spacing w:before="166" w:line="313" w:lineRule="auto"/>
        <w:ind w:left="719" w:right="3550"/>
        <w:rPr>
          <w:sz w:val="30"/>
          <w:szCs w:val="30"/>
        </w:rPr>
      </w:pPr>
      <w:bookmarkStart w:id="0" w:name="_GoBack"/>
      <w:bookmarkEnd w:id="0"/>
      <w:r>
        <w:rPr>
          <w:spacing w:val="-6"/>
          <w:sz w:val="30"/>
          <w:szCs w:val="30"/>
        </w:rPr>
        <w:t>2.孕妇禁用。</w:t>
      </w:r>
    </w:p>
    <w:p w14:paraId="3D50ADE7">
      <w:pPr>
        <w:pStyle w:val="2"/>
        <w:spacing w:before="42" w:line="222" w:lineRule="auto"/>
        <w:ind w:left="719"/>
        <w:rPr>
          <w:sz w:val="30"/>
          <w:szCs w:val="30"/>
        </w:rPr>
      </w:pPr>
      <w:r>
        <w:rPr>
          <w:spacing w:val="7"/>
          <w:sz w:val="30"/>
          <w:szCs w:val="30"/>
        </w:rPr>
        <w:t>3.6岁及以下儿童禁用。</w:t>
      </w:r>
    </w:p>
    <w:p w14:paraId="27F246F9">
      <w:pPr>
        <w:spacing w:before="164" w:line="221" w:lineRule="auto"/>
        <w:ind w:left="723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0"/>
          <w:sz w:val="30"/>
          <w:szCs w:val="30"/>
        </w:rPr>
        <w:t>四、【注意事项】项应包含以下内容</w:t>
      </w:r>
    </w:p>
    <w:p w14:paraId="6C443F04">
      <w:pPr>
        <w:pStyle w:val="2"/>
        <w:spacing w:before="129" w:line="314" w:lineRule="auto"/>
        <w:ind w:left="79" w:right="46" w:firstLine="639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1.本品有发生严重过敏反应的风险，包括过</w:t>
      </w:r>
      <w:r>
        <w:rPr>
          <w:spacing w:val="8"/>
          <w:sz w:val="30"/>
          <w:szCs w:val="30"/>
        </w:rPr>
        <w:t>敏性休克，严重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者可导致死亡。建议在有抢救条件的医疗机构</w:t>
      </w:r>
      <w:r>
        <w:rPr>
          <w:spacing w:val="10"/>
          <w:sz w:val="30"/>
          <w:szCs w:val="30"/>
        </w:rPr>
        <w:t>使用，用药前应仔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细询问患者情况、用药史和过敏史。在给药</w:t>
      </w:r>
      <w:r>
        <w:rPr>
          <w:spacing w:val="10"/>
          <w:sz w:val="30"/>
          <w:szCs w:val="30"/>
        </w:rPr>
        <w:t>期间应对患者密切观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察，一旦发生严重过敏反应如出现呼吸困难、血压</w:t>
      </w:r>
      <w:r>
        <w:rPr>
          <w:spacing w:val="10"/>
          <w:sz w:val="30"/>
          <w:szCs w:val="30"/>
        </w:rPr>
        <w:t>下降、意识丧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失等症状和体征，应立即停药，并采取适当的紧</w:t>
      </w:r>
      <w:r>
        <w:rPr>
          <w:spacing w:val="11"/>
          <w:sz w:val="30"/>
          <w:szCs w:val="30"/>
        </w:rPr>
        <w:t>急救治措施。</w:t>
      </w:r>
    </w:p>
    <w:p w14:paraId="49E9F326">
      <w:pPr>
        <w:pStyle w:val="2"/>
        <w:spacing w:before="101" w:line="307" w:lineRule="auto"/>
        <w:ind w:left="79" w:right="20" w:firstLine="639"/>
        <w:rPr>
          <w:sz w:val="30"/>
          <w:szCs w:val="30"/>
        </w:rPr>
      </w:pPr>
      <w:r>
        <w:rPr>
          <w:spacing w:val="10"/>
          <w:sz w:val="30"/>
          <w:szCs w:val="30"/>
        </w:rPr>
        <w:t>2.本品应单独使用，不宜与其他药品配伍使用。与其他药品</w:t>
      </w:r>
      <w:r>
        <w:rPr>
          <w:spacing w:val="1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序贯使用时应更换输液器。</w:t>
      </w:r>
    </w:p>
    <w:p w14:paraId="15FB952A">
      <w:pPr>
        <w:pStyle w:val="2"/>
        <w:spacing w:before="27" w:line="311" w:lineRule="auto"/>
        <w:ind w:left="79" w:right="47" w:firstLine="639"/>
        <w:rPr>
          <w:sz w:val="30"/>
          <w:szCs w:val="30"/>
        </w:rPr>
      </w:pPr>
      <w:r>
        <w:rPr>
          <w:spacing w:val="15"/>
          <w:sz w:val="30"/>
          <w:szCs w:val="30"/>
        </w:rPr>
        <w:t>3.本品有与10%葡萄糖注射液配伍后出</w:t>
      </w:r>
      <w:r>
        <w:rPr>
          <w:spacing w:val="14"/>
          <w:sz w:val="30"/>
          <w:szCs w:val="30"/>
        </w:rPr>
        <w:t>现混浊的报告，避免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配伍使用。</w:t>
      </w:r>
    </w:p>
    <w:p w14:paraId="5C315CBB">
      <w:pPr>
        <w:spacing w:before="53" w:line="221" w:lineRule="auto"/>
        <w:ind w:left="723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五、【儿童用药】项应包含以下内容</w:t>
      </w:r>
    </w:p>
    <w:p w14:paraId="1B163723">
      <w:pPr>
        <w:pStyle w:val="2"/>
        <w:spacing w:before="136" w:line="222" w:lineRule="auto"/>
        <w:ind w:left="719"/>
        <w:rPr>
          <w:sz w:val="30"/>
          <w:szCs w:val="30"/>
        </w:rPr>
      </w:pPr>
      <w:r>
        <w:rPr>
          <w:spacing w:val="13"/>
          <w:sz w:val="30"/>
          <w:szCs w:val="30"/>
        </w:rPr>
        <w:t>6岁及以下儿童禁用。</w:t>
      </w:r>
    </w:p>
    <w:p w14:paraId="720FED20">
      <w:pPr>
        <w:spacing w:line="292" w:lineRule="auto"/>
        <w:rPr>
          <w:rFonts w:ascii="Arial"/>
          <w:sz w:val="21"/>
        </w:rPr>
      </w:pPr>
    </w:p>
    <w:p w14:paraId="1A506A2E">
      <w:pPr>
        <w:spacing w:line="293" w:lineRule="auto"/>
        <w:rPr>
          <w:rFonts w:ascii="Arial"/>
          <w:sz w:val="21"/>
        </w:rPr>
      </w:pPr>
    </w:p>
    <w:p w14:paraId="5892B3CB">
      <w:pPr>
        <w:pStyle w:val="2"/>
        <w:spacing w:before="98" w:line="303" w:lineRule="auto"/>
        <w:ind w:left="79" w:right="31" w:firstLine="639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注：如原批准说明书的安全性内容较本修订要求内容更全面</w:t>
      </w:r>
      <w:r>
        <w:rPr>
          <w:spacing w:val="4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或更严格的，应当保留原批准内容。说明书其他内容如与上述修</w:t>
      </w:r>
      <w:r>
        <w:rPr>
          <w:spacing w:val="9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订要求不一致的，应当一并进行修订。</w:t>
      </w:r>
    </w:p>
    <w:p w14:paraId="40D8DC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9188B">
    <w:pPr>
      <w:spacing w:line="177" w:lineRule="auto"/>
      <w:ind w:left="760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B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2025-03-13T03:17:21Z</dcterms:created>
  <dc:creator>Administrator</dc:creator>
  <cp:lastModifiedBy>张永强</cp:lastModifiedBy>
  <dcterms:modified xsi:type="dcterms:W3CDTF">2025-03-13T03:18:12Z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F07B186F176B4A1882A481D6B8728631_12</vt:lpwstr>
  </property>
</Properties>
</file>